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66C7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8E71C22" w:rsidR="00CD36CF" w:rsidRDefault="00A66C7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705E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705EC" w:rsidRPr="00A705EC">
            <w:t>415</w:t>
          </w:r>
        </w:sdtContent>
      </w:sdt>
    </w:p>
    <w:p w14:paraId="7A625101" w14:textId="0A979458" w:rsidR="00A705EC" w:rsidRDefault="00A705EC" w:rsidP="00EF6030">
      <w:pPr>
        <w:pStyle w:val="References"/>
        <w:rPr>
          <w:smallCaps/>
        </w:rPr>
      </w:pPr>
      <w:r>
        <w:rPr>
          <w:smallCaps/>
        </w:rPr>
        <w:t>By Senator</w:t>
      </w:r>
      <w:r w:rsidR="00A66C78">
        <w:rPr>
          <w:smallCaps/>
        </w:rPr>
        <w:t>s</w:t>
      </w:r>
      <w:r>
        <w:rPr>
          <w:smallCaps/>
        </w:rPr>
        <w:t xml:space="preserve"> Tarr</w:t>
      </w:r>
      <w:r w:rsidR="00A66C78">
        <w:rPr>
          <w:smallCaps/>
        </w:rPr>
        <w:t>, Stollings, and Nelson</w:t>
      </w:r>
    </w:p>
    <w:p w14:paraId="0875E990" w14:textId="6F733E1C" w:rsidR="00A705E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9D7585">
            <w:t>Finance</w:t>
          </w:r>
        </w:sdtContent>
      </w:sdt>
      <w:r w:rsidR="00002112">
        <w:t xml:space="preserve">; reported on </w:t>
      </w:r>
      <w:sdt>
        <w:sdtPr>
          <w:id w:val="-32107996"/>
          <w:placeholder>
            <w:docPart w:val="5E771B5A25284D139447082E3754990B"/>
          </w:placeholder>
          <w:text/>
        </w:sdtPr>
        <w:sdtEndPr/>
        <w:sdtContent>
          <w:r w:rsidR="009D7585">
            <w:t>February 1</w:t>
          </w:r>
          <w:r w:rsidR="00A66C78">
            <w:t>1</w:t>
          </w:r>
          <w:r w:rsidR="009D7585">
            <w:t>, 2022</w:t>
          </w:r>
        </w:sdtContent>
      </w:sdt>
      <w:r>
        <w:t>]</w:t>
      </w:r>
    </w:p>
    <w:p w14:paraId="7D3A3294" w14:textId="77777777" w:rsidR="00A705EC" w:rsidRDefault="00A705EC" w:rsidP="00A705EC">
      <w:pPr>
        <w:pStyle w:val="TitlePageOrigin"/>
      </w:pPr>
    </w:p>
    <w:p w14:paraId="48EEB32E" w14:textId="3A5A021D" w:rsidR="00A705EC" w:rsidRPr="009450E7" w:rsidRDefault="00A705EC" w:rsidP="00A705EC">
      <w:pPr>
        <w:pStyle w:val="TitlePageOrigin"/>
        <w:rPr>
          <w:color w:val="auto"/>
        </w:rPr>
      </w:pPr>
    </w:p>
    <w:p w14:paraId="085CD7B0" w14:textId="5F26EC34" w:rsidR="00A705EC" w:rsidRPr="009450E7" w:rsidRDefault="00A705EC" w:rsidP="00A705EC">
      <w:pPr>
        <w:pStyle w:val="TitleSection"/>
        <w:rPr>
          <w:color w:val="auto"/>
        </w:rPr>
      </w:pPr>
      <w:r w:rsidRPr="009450E7">
        <w:rPr>
          <w:color w:val="auto"/>
        </w:rPr>
        <w:lastRenderedPageBreak/>
        <w:t xml:space="preserve">A BILL to amend the Code of West Virginia, 1931, as amended, by adding thereto a new section, designated §11-13A-20b, relating to severance taxes; capping severance tax collections in general revenue at a specified percentage and dedicating any excess above the specified percentage to a special revenue account; creating a special revenue account; setting out the purpose of the account and use of funds therein; </w:t>
      </w:r>
      <w:r w:rsidR="009D7585">
        <w:rPr>
          <w:color w:val="auto"/>
        </w:rPr>
        <w:t>setting an effective date</w:t>
      </w:r>
      <w:r w:rsidR="00A66C78">
        <w:rPr>
          <w:color w:val="auto"/>
        </w:rPr>
        <w:t>;</w:t>
      </w:r>
      <w:r w:rsidR="009D7585">
        <w:rPr>
          <w:color w:val="auto"/>
        </w:rPr>
        <w:t xml:space="preserve"> </w:t>
      </w:r>
      <w:r w:rsidRPr="009450E7">
        <w:rPr>
          <w:color w:val="auto"/>
        </w:rPr>
        <w:t>and providing for administration of the account.</w:t>
      </w:r>
    </w:p>
    <w:p w14:paraId="6CCB2498" w14:textId="77777777" w:rsidR="00A705EC" w:rsidRPr="009450E7" w:rsidRDefault="00A705EC" w:rsidP="00A705EC">
      <w:pPr>
        <w:pStyle w:val="EnactingClause"/>
        <w:rPr>
          <w:color w:val="auto"/>
        </w:rPr>
      </w:pPr>
      <w:r w:rsidRPr="009450E7">
        <w:rPr>
          <w:color w:val="auto"/>
        </w:rPr>
        <w:t>Be it enacted by the Legislature of West Virginia:</w:t>
      </w:r>
    </w:p>
    <w:p w14:paraId="4847DB1F" w14:textId="77777777" w:rsidR="00A705EC" w:rsidRPr="009450E7" w:rsidRDefault="00A705EC" w:rsidP="00A705EC">
      <w:pPr>
        <w:pStyle w:val="ArticleHeading"/>
        <w:rPr>
          <w:color w:val="auto"/>
        </w:rPr>
        <w:sectPr w:rsidR="00A705EC" w:rsidRPr="009450E7" w:rsidSect="00A705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450E7">
        <w:rPr>
          <w:color w:val="auto"/>
        </w:rPr>
        <w:t>ARTICLE 13A. SEVERANCE AND BUSINESS PRIVILEGE TAX ACT.</w:t>
      </w:r>
    </w:p>
    <w:p w14:paraId="07AE1081" w14:textId="77777777" w:rsidR="00A705EC" w:rsidRPr="009450E7" w:rsidRDefault="00A705EC" w:rsidP="00A705EC">
      <w:pPr>
        <w:pStyle w:val="SectionHeading"/>
        <w:rPr>
          <w:color w:val="auto"/>
          <w:u w:val="single"/>
        </w:rPr>
        <w:sectPr w:rsidR="00A705EC" w:rsidRPr="009450E7" w:rsidSect="007D436C">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cols w:space="720"/>
          <w:titlePg/>
          <w:docGrid w:linePitch="360"/>
        </w:sectPr>
      </w:pPr>
      <w:r w:rsidRPr="009450E7">
        <w:rPr>
          <w:color w:val="auto"/>
          <w:u w:val="single"/>
        </w:rPr>
        <w:t>§11-13A-20b.  Diversion of specified funds; creation of Economic Development Growth Encouragement Fund.</w:t>
      </w:r>
    </w:p>
    <w:p w14:paraId="3BBBC8FB" w14:textId="34250A9A" w:rsidR="00A705EC" w:rsidRPr="009450E7" w:rsidRDefault="00A705EC" w:rsidP="00A705EC">
      <w:pPr>
        <w:pStyle w:val="SectionBody"/>
        <w:rPr>
          <w:color w:val="auto"/>
          <w:u w:val="single"/>
        </w:rPr>
      </w:pPr>
      <w:r w:rsidRPr="009450E7">
        <w:rPr>
          <w:color w:val="auto"/>
          <w:u w:val="single"/>
        </w:rPr>
        <w:t>(a) Effective July 1, 202</w:t>
      </w:r>
      <w:r w:rsidR="009D7585">
        <w:rPr>
          <w:color w:val="auto"/>
          <w:u w:val="single"/>
        </w:rPr>
        <w:t>4</w:t>
      </w:r>
      <w:r w:rsidRPr="009450E7">
        <w:rPr>
          <w:color w:val="auto"/>
          <w:u w:val="single"/>
        </w:rPr>
        <w:t xml:space="preserve">, and every year thereafter, at the end of any fiscal year when the severance taxes collected pursuant to this article which are deposited into the state’s </w:t>
      </w:r>
      <w:r w:rsidR="00A66C78">
        <w:rPr>
          <w:color w:val="auto"/>
          <w:u w:val="single"/>
        </w:rPr>
        <w:t>G</w:t>
      </w:r>
      <w:r w:rsidRPr="009450E7">
        <w:rPr>
          <w:color w:val="auto"/>
          <w:u w:val="single"/>
        </w:rPr>
        <w:t xml:space="preserve">eneral </w:t>
      </w:r>
      <w:r w:rsidR="00A66C78">
        <w:rPr>
          <w:color w:val="auto"/>
          <w:u w:val="single"/>
        </w:rPr>
        <w:t>R</w:t>
      </w:r>
      <w:r w:rsidRPr="009450E7">
        <w:rPr>
          <w:color w:val="auto"/>
          <w:u w:val="single"/>
        </w:rPr>
        <w:t xml:space="preserve">evenue </w:t>
      </w:r>
      <w:r w:rsidR="00A66C78">
        <w:rPr>
          <w:color w:val="auto"/>
          <w:u w:val="single"/>
        </w:rPr>
        <w:t>F</w:t>
      </w:r>
      <w:r w:rsidRPr="009450E7">
        <w:rPr>
          <w:color w:val="auto"/>
          <w:u w:val="single"/>
        </w:rPr>
        <w:t xml:space="preserve">und exceed eight and one-half percent of the state’s general revenue collections, the amount of taxes collected shall be distributed as provided in this section. </w:t>
      </w:r>
    </w:p>
    <w:p w14:paraId="2E1A0DCA" w14:textId="0B028112" w:rsidR="00A705EC" w:rsidRPr="009450E7" w:rsidRDefault="00A705EC" w:rsidP="00A705EC">
      <w:pPr>
        <w:pStyle w:val="SectionBody"/>
        <w:rPr>
          <w:color w:val="auto"/>
          <w:u w:val="single"/>
        </w:rPr>
      </w:pPr>
      <w:r w:rsidRPr="009450E7">
        <w:rPr>
          <w:color w:val="auto"/>
          <w:u w:val="single"/>
        </w:rPr>
        <w:t xml:space="preserve">(1) The first eight and one-half percent shall remain in the </w:t>
      </w:r>
      <w:r w:rsidR="00A66C78">
        <w:rPr>
          <w:color w:val="auto"/>
          <w:u w:val="single"/>
        </w:rPr>
        <w:t>G</w:t>
      </w:r>
      <w:r w:rsidRPr="009450E7">
        <w:rPr>
          <w:color w:val="auto"/>
          <w:u w:val="single"/>
        </w:rPr>
        <w:t xml:space="preserve">eneral </w:t>
      </w:r>
      <w:r w:rsidR="00A66C78">
        <w:rPr>
          <w:color w:val="auto"/>
          <w:u w:val="single"/>
        </w:rPr>
        <w:t>R</w:t>
      </w:r>
      <w:r w:rsidRPr="009450E7">
        <w:rPr>
          <w:color w:val="auto"/>
          <w:u w:val="single"/>
        </w:rPr>
        <w:t xml:space="preserve">evenue </w:t>
      </w:r>
      <w:r w:rsidR="00A66C78">
        <w:rPr>
          <w:color w:val="auto"/>
          <w:u w:val="single"/>
        </w:rPr>
        <w:t>F</w:t>
      </w:r>
      <w:r w:rsidRPr="009450E7">
        <w:rPr>
          <w:color w:val="auto"/>
          <w:u w:val="single"/>
        </w:rPr>
        <w:t>und</w:t>
      </w:r>
      <w:r w:rsidR="00A66C78">
        <w:rPr>
          <w:color w:val="auto"/>
          <w:u w:val="single"/>
        </w:rPr>
        <w:t>.</w:t>
      </w:r>
      <w:r w:rsidRPr="009450E7">
        <w:rPr>
          <w:color w:val="auto"/>
          <w:u w:val="single"/>
        </w:rPr>
        <w:t xml:space="preserve"> </w:t>
      </w:r>
    </w:p>
    <w:p w14:paraId="388FD899" w14:textId="77777777" w:rsidR="00A705EC" w:rsidRPr="009450E7" w:rsidRDefault="00A705EC" w:rsidP="00A705EC">
      <w:pPr>
        <w:pStyle w:val="SectionBody"/>
        <w:rPr>
          <w:color w:val="auto"/>
          <w:u w:val="single"/>
        </w:rPr>
      </w:pPr>
      <w:r w:rsidRPr="009450E7">
        <w:rPr>
          <w:color w:val="auto"/>
          <w:u w:val="single"/>
        </w:rPr>
        <w:t xml:space="preserve">(2) Any excess over and above the eight and one-half percent shall be deposited into a special revenue account in the State Treasury created in subsection (b) of this section. </w:t>
      </w:r>
    </w:p>
    <w:p w14:paraId="017533BD" w14:textId="13A9B60C" w:rsidR="00A705EC" w:rsidRPr="009450E7" w:rsidRDefault="00A705EC" w:rsidP="00A705EC">
      <w:pPr>
        <w:pStyle w:val="SectionBody"/>
        <w:rPr>
          <w:color w:val="auto"/>
          <w:u w:val="single"/>
        </w:rPr>
      </w:pPr>
      <w:r w:rsidRPr="009450E7">
        <w:rPr>
          <w:color w:val="auto"/>
          <w:u w:val="single"/>
        </w:rPr>
        <w:t>(b) A special revenue account to be known as the</w:t>
      </w:r>
      <w:r w:rsidR="00A66C78">
        <w:rPr>
          <w:color w:val="auto"/>
          <w:u w:val="single"/>
        </w:rPr>
        <w:t xml:space="preserve"> </w:t>
      </w:r>
      <w:r w:rsidRPr="009450E7">
        <w:rPr>
          <w:color w:val="auto"/>
          <w:u w:val="single"/>
        </w:rPr>
        <w:t xml:space="preserve">Economic Development Growth Encouragement Fund is hereby created.  The fund shall be administered by the Secretary of the Department of Economic Development.  Expenditures from this fund shall be for the purposes set forth in §5B-2-1 </w:t>
      </w:r>
      <w:r w:rsidRPr="009450E7">
        <w:rPr>
          <w:i/>
          <w:iCs/>
          <w:color w:val="auto"/>
          <w:u w:val="single"/>
        </w:rPr>
        <w:t>et seq.</w:t>
      </w:r>
      <w:r w:rsidRPr="009450E7">
        <w:rPr>
          <w:color w:val="auto"/>
          <w:u w:val="single"/>
        </w:rPr>
        <w:t xml:space="preserve"> of this code, as authorized from collections and by appropriation from the Legislature, and in accordance with the provisions of §12-3-1 </w:t>
      </w:r>
      <w:r w:rsidRPr="009450E7">
        <w:rPr>
          <w:i/>
          <w:iCs/>
          <w:color w:val="auto"/>
          <w:u w:val="single"/>
        </w:rPr>
        <w:t>et seq.</w:t>
      </w:r>
      <w:r w:rsidRPr="009450E7">
        <w:rPr>
          <w:color w:val="auto"/>
          <w:u w:val="single"/>
        </w:rPr>
        <w:t xml:space="preserve"> of this code</w:t>
      </w:r>
      <w:r w:rsidR="00A66C78">
        <w:rPr>
          <w:color w:val="auto"/>
          <w:u w:val="single"/>
        </w:rPr>
        <w:t>,</w:t>
      </w:r>
      <w:r w:rsidRPr="009450E7">
        <w:rPr>
          <w:color w:val="auto"/>
          <w:u w:val="single"/>
        </w:rPr>
        <w:t xml:space="preserve"> and upon the fulfillment of the provisions of §11B-2-1 </w:t>
      </w:r>
      <w:r w:rsidRPr="009450E7">
        <w:rPr>
          <w:i/>
          <w:iCs/>
          <w:color w:val="auto"/>
          <w:u w:val="single"/>
        </w:rPr>
        <w:t>et seq.</w:t>
      </w:r>
      <w:r w:rsidRPr="009450E7">
        <w:rPr>
          <w:color w:val="auto"/>
          <w:u w:val="single"/>
        </w:rPr>
        <w:t xml:space="preserve"> of this code.</w:t>
      </w:r>
    </w:p>
    <w:p w14:paraId="279F1999" w14:textId="77777777" w:rsidR="00E831B3" w:rsidRDefault="00E831B3" w:rsidP="00EF6030">
      <w:pPr>
        <w:pStyle w:val="References"/>
      </w:pPr>
    </w:p>
    <w:sectPr w:rsidR="00E831B3" w:rsidSect="00A705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B407" w14:textId="77777777" w:rsidR="00A705EC" w:rsidRDefault="00A705EC" w:rsidP="00AF45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C09834" w14:textId="77777777" w:rsidR="00A705EC" w:rsidRPr="00A705EC" w:rsidRDefault="00A705EC" w:rsidP="00A7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58C6" w14:textId="0F3498B3" w:rsidR="00A705EC" w:rsidRDefault="00A705EC" w:rsidP="00AF45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1F64DF" w14:textId="77777777" w:rsidR="00A705EC" w:rsidRPr="00A705EC" w:rsidRDefault="00A705EC" w:rsidP="00A70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7E4" w14:textId="77777777" w:rsidR="00A705EC" w:rsidRPr="00A705EC" w:rsidRDefault="00A705EC" w:rsidP="00A705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205B" w14:textId="77777777" w:rsidR="00A705EC" w:rsidRPr="00A705EC" w:rsidRDefault="00A705EC" w:rsidP="00A7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CAB4" w14:textId="3A66C6AF" w:rsidR="00A705EC" w:rsidRPr="00A705EC" w:rsidRDefault="00A705EC" w:rsidP="00A705EC">
    <w:pPr>
      <w:pStyle w:val="Header"/>
    </w:pPr>
    <w:r>
      <w:t>CS for SB 415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504D" w14:textId="796E4FE5" w:rsidR="00A705EC" w:rsidRPr="00A705EC" w:rsidRDefault="00A705EC" w:rsidP="00A705EC">
    <w:pPr>
      <w:pStyle w:val="Header"/>
    </w:pPr>
    <w:r>
      <w:t>CS for SB 415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3239" w14:textId="3E591CC0" w:rsidR="00A705EC" w:rsidRPr="00A705EC" w:rsidRDefault="00A705EC" w:rsidP="00A705EC">
    <w:pPr>
      <w:pStyle w:val="Header"/>
    </w:pPr>
    <w:r>
      <w:t>CS for SB 415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D5EA" w14:textId="4B88481E" w:rsidR="00A705EC" w:rsidRPr="00A705EC" w:rsidRDefault="00A705EC" w:rsidP="00A705EC">
    <w:pPr>
      <w:pStyle w:val="Header"/>
    </w:pPr>
    <w:r>
      <w:t>CS for SB 415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EB22" w14:textId="26192B0F" w:rsidR="00A705EC" w:rsidRPr="00A705EC" w:rsidRDefault="00A705EC" w:rsidP="00A705EC">
    <w:pPr>
      <w:pStyle w:val="Header"/>
    </w:pPr>
    <w:r>
      <w:t>CS for SB 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D4876"/>
    <w:rsid w:val="007E02CF"/>
    <w:rsid w:val="007F1CF5"/>
    <w:rsid w:val="0081249D"/>
    <w:rsid w:val="00834EDE"/>
    <w:rsid w:val="008736AA"/>
    <w:rsid w:val="008D275D"/>
    <w:rsid w:val="00980327"/>
    <w:rsid w:val="009D7585"/>
    <w:rsid w:val="009F1067"/>
    <w:rsid w:val="00A159EB"/>
    <w:rsid w:val="00A31E01"/>
    <w:rsid w:val="00A35B03"/>
    <w:rsid w:val="00A527AD"/>
    <w:rsid w:val="00A66C78"/>
    <w:rsid w:val="00A705EC"/>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18BF4B98-A50E-466F-947A-ECF86D83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705EC"/>
    <w:rPr>
      <w:rFonts w:eastAsia="Calibri"/>
      <w:b/>
      <w:caps/>
      <w:color w:val="000000"/>
      <w:sz w:val="24"/>
    </w:rPr>
  </w:style>
  <w:style w:type="character" w:styleId="PageNumber">
    <w:name w:val="page number"/>
    <w:basedOn w:val="DefaultParagraphFont"/>
    <w:uiPriority w:val="99"/>
    <w:semiHidden/>
    <w:locked/>
    <w:rsid w:val="00A7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56047" w:rsidRDefault="0045604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56047" w:rsidRDefault="0045604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56047" w:rsidRDefault="0045604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56047" w:rsidRDefault="0045604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56047" w:rsidRDefault="0045604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47"/>
    <w:rsid w:val="0045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5604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dcterms:created xsi:type="dcterms:W3CDTF">2022-02-10T20:37:00Z</dcterms:created>
  <dcterms:modified xsi:type="dcterms:W3CDTF">2022-02-11T17:52:00Z</dcterms:modified>
</cp:coreProperties>
</file>